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572" w:rsidRDefault="00610572" w:rsidP="00610572">
      <w:pPr>
        <w:jc w:val="center"/>
      </w:pPr>
      <w:r>
        <w:rPr>
          <w:b/>
          <w:noProof/>
          <w:lang w:eastAsia="nb-NO"/>
        </w:rPr>
        <w:drawing>
          <wp:inline distT="0" distB="0" distL="0" distR="0" wp14:anchorId="39AF0284" wp14:editId="0A0044F1">
            <wp:extent cx="1557067" cy="1744830"/>
            <wp:effectExtent l="0" t="0" r="0" b="0"/>
            <wp:docPr id="1" name="Bil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557067" cy="1744830"/>
                    </a:xfrm>
                    <a:prstGeom prst="rect">
                      <a:avLst/>
                    </a:prstGeom>
                    <a:noFill/>
                    <a:ln>
                      <a:noFill/>
                      <a:prstDash/>
                    </a:ln>
                  </pic:spPr>
                </pic:pic>
              </a:graphicData>
            </a:graphic>
          </wp:inline>
        </w:drawing>
      </w:r>
      <w:r>
        <w:rPr>
          <w:b/>
        </w:rPr>
        <w:t xml:space="preserve"> </w:t>
      </w:r>
    </w:p>
    <w:p w:rsidR="00610572" w:rsidRDefault="00610572" w:rsidP="00610572">
      <w:pPr>
        <w:pStyle w:val="Overskrift2"/>
        <w:rPr>
          <w:rFonts w:ascii="Verdana" w:hAnsi="Verdana"/>
          <w:sz w:val="24"/>
          <w:szCs w:val="24"/>
        </w:rPr>
      </w:pPr>
      <w:r>
        <w:rPr>
          <w:rFonts w:ascii="Verdana" w:hAnsi="Verdana"/>
          <w:sz w:val="24"/>
          <w:szCs w:val="24"/>
        </w:rPr>
        <w:t>Strategisk plan for Den norske Dommerforening 2018 - 2020</w:t>
      </w:r>
    </w:p>
    <w:p w:rsidR="00610572" w:rsidRDefault="00610572" w:rsidP="00610572">
      <w:pPr>
        <w:pStyle w:val="Bunntekst"/>
        <w:tabs>
          <w:tab w:val="clear" w:pos="4536"/>
          <w:tab w:val="clear" w:pos="9072"/>
        </w:tabs>
        <w:rPr>
          <w:rFonts w:ascii="Verdana" w:hAnsi="Verdana"/>
          <w:sz w:val="20"/>
        </w:rPr>
      </w:pPr>
    </w:p>
    <w:p w:rsidR="00610572" w:rsidRDefault="00610572" w:rsidP="00610572">
      <w:pPr>
        <w:pStyle w:val="Bunntekst"/>
        <w:tabs>
          <w:tab w:val="clear" w:pos="4536"/>
          <w:tab w:val="clear" w:pos="9072"/>
        </w:tabs>
        <w:rPr>
          <w:rFonts w:ascii="Verdana" w:hAnsi="Verdana"/>
          <w:sz w:val="20"/>
        </w:rPr>
      </w:pPr>
    </w:p>
    <w:p w:rsidR="00610572" w:rsidRDefault="00610572" w:rsidP="00610572">
      <w:pPr>
        <w:rPr>
          <w:rFonts w:ascii="Verdana" w:hAnsi="Verdana"/>
          <w:b/>
          <w:bCs/>
          <w:sz w:val="20"/>
        </w:rPr>
      </w:pPr>
      <w:r>
        <w:rPr>
          <w:rFonts w:ascii="Verdana" w:hAnsi="Verdana"/>
          <w:b/>
          <w:bCs/>
          <w:sz w:val="20"/>
        </w:rPr>
        <w:t>Virksomhetsidé</w:t>
      </w:r>
    </w:p>
    <w:p w:rsidR="00610572" w:rsidRDefault="00610572" w:rsidP="00610572">
      <w:pPr>
        <w:rPr>
          <w:rFonts w:ascii="Verdana" w:hAnsi="Verdana"/>
          <w:sz w:val="20"/>
        </w:rPr>
      </w:pPr>
      <w:r>
        <w:rPr>
          <w:rFonts w:ascii="Verdana" w:hAnsi="Verdana"/>
          <w:sz w:val="20"/>
        </w:rPr>
        <w:t>Den norske Dommerforening skal være et organ for norske juridiske dommere. Foreningen skal samle dommere til felles arbeid for dommernes interesser og til vern om rettsstaten.</w:t>
      </w:r>
    </w:p>
    <w:p w:rsidR="00610572" w:rsidRDefault="00610572" w:rsidP="00610572">
      <w:pPr>
        <w:rPr>
          <w:rFonts w:ascii="Verdana" w:hAnsi="Verdana"/>
          <w:sz w:val="20"/>
        </w:rPr>
      </w:pPr>
      <w:r>
        <w:rPr>
          <w:rFonts w:ascii="Verdana" w:hAnsi="Verdana"/>
          <w:sz w:val="20"/>
        </w:rPr>
        <w:t>Dommerforeningen skal arbeide for:</w:t>
      </w:r>
    </w:p>
    <w:p w:rsidR="00610572" w:rsidRDefault="00610572" w:rsidP="00610572">
      <w:pPr>
        <w:numPr>
          <w:ilvl w:val="0"/>
          <w:numId w:val="1"/>
        </w:numPr>
        <w:suppressAutoHyphens w:val="0"/>
        <w:spacing w:after="0" w:line="240" w:lineRule="auto"/>
        <w:textAlignment w:val="auto"/>
        <w:rPr>
          <w:rFonts w:ascii="Verdana" w:hAnsi="Verdana"/>
          <w:sz w:val="20"/>
        </w:rPr>
      </w:pPr>
      <w:r>
        <w:rPr>
          <w:rFonts w:ascii="Verdana" w:hAnsi="Verdana"/>
          <w:sz w:val="20"/>
        </w:rPr>
        <w:t xml:space="preserve">vern om dommernes og domstolenes uavhengighet </w:t>
      </w:r>
    </w:p>
    <w:p w:rsidR="00610572" w:rsidRDefault="00610572" w:rsidP="00610572">
      <w:pPr>
        <w:numPr>
          <w:ilvl w:val="0"/>
          <w:numId w:val="1"/>
        </w:numPr>
        <w:suppressAutoHyphens w:val="0"/>
        <w:spacing w:after="0" w:line="240" w:lineRule="auto"/>
        <w:textAlignment w:val="auto"/>
        <w:rPr>
          <w:rFonts w:ascii="Verdana" w:hAnsi="Verdana"/>
          <w:sz w:val="20"/>
        </w:rPr>
      </w:pPr>
      <w:r>
        <w:rPr>
          <w:rFonts w:ascii="Verdana" w:hAnsi="Verdana"/>
          <w:sz w:val="20"/>
        </w:rPr>
        <w:t xml:space="preserve">gode lønns- og arbeidsvilkår i domstolene </w:t>
      </w:r>
    </w:p>
    <w:p w:rsidR="00610572" w:rsidRDefault="00610572" w:rsidP="00610572">
      <w:pPr>
        <w:numPr>
          <w:ilvl w:val="0"/>
          <w:numId w:val="1"/>
        </w:numPr>
        <w:suppressAutoHyphens w:val="0"/>
        <w:spacing w:after="0" w:line="240" w:lineRule="auto"/>
        <w:textAlignment w:val="auto"/>
        <w:rPr>
          <w:rFonts w:ascii="Verdana" w:hAnsi="Verdana"/>
          <w:sz w:val="20"/>
        </w:rPr>
      </w:pPr>
      <w:r>
        <w:rPr>
          <w:rFonts w:ascii="Verdana" w:hAnsi="Verdana"/>
          <w:sz w:val="20"/>
        </w:rPr>
        <w:t>reformer innen rettslivet</w:t>
      </w:r>
    </w:p>
    <w:p w:rsidR="00610572" w:rsidRDefault="00610572" w:rsidP="00610572">
      <w:pPr>
        <w:numPr>
          <w:ilvl w:val="0"/>
          <w:numId w:val="1"/>
        </w:numPr>
        <w:suppressAutoHyphens w:val="0"/>
        <w:spacing w:after="0" w:line="240" w:lineRule="auto"/>
        <w:textAlignment w:val="auto"/>
        <w:rPr>
          <w:rFonts w:ascii="Verdana" w:hAnsi="Verdana"/>
          <w:sz w:val="20"/>
        </w:rPr>
      </w:pPr>
      <w:r>
        <w:rPr>
          <w:rFonts w:ascii="Verdana" w:hAnsi="Verdana"/>
          <w:sz w:val="20"/>
        </w:rPr>
        <w:t>at norske dommere deltar i internasjonalt samarbeid og i internasjonale oppdrag</w:t>
      </w:r>
    </w:p>
    <w:p w:rsidR="00610572" w:rsidRDefault="00610572" w:rsidP="00610572">
      <w:pPr>
        <w:suppressAutoHyphens w:val="0"/>
        <w:spacing w:after="0" w:line="240" w:lineRule="auto"/>
        <w:ind w:left="720"/>
        <w:textAlignment w:val="auto"/>
        <w:rPr>
          <w:rFonts w:ascii="Verdana" w:hAnsi="Verdana"/>
          <w:sz w:val="20"/>
        </w:rPr>
      </w:pPr>
    </w:p>
    <w:p w:rsidR="00610572" w:rsidRDefault="00610572" w:rsidP="00610572">
      <w:pPr>
        <w:pStyle w:val="Overskrift1"/>
        <w:rPr>
          <w:rFonts w:ascii="Verdana" w:hAnsi="Verdana"/>
          <w:sz w:val="20"/>
        </w:rPr>
      </w:pPr>
    </w:p>
    <w:p w:rsidR="00610572" w:rsidRDefault="00610572" w:rsidP="00610572">
      <w:pPr>
        <w:rPr>
          <w:rFonts w:ascii="Verdana" w:hAnsi="Verdana"/>
          <w:b/>
          <w:bCs/>
          <w:sz w:val="20"/>
        </w:rPr>
      </w:pPr>
      <w:r>
        <w:rPr>
          <w:rFonts w:ascii="Verdana" w:hAnsi="Verdana"/>
          <w:b/>
          <w:bCs/>
          <w:sz w:val="20"/>
        </w:rPr>
        <w:t>Visjon</w:t>
      </w:r>
    </w:p>
    <w:p w:rsidR="00610572" w:rsidRDefault="00610572" w:rsidP="00610572">
      <w:pPr>
        <w:rPr>
          <w:rFonts w:ascii="Verdana" w:hAnsi="Verdana"/>
          <w:sz w:val="20"/>
        </w:rPr>
      </w:pPr>
      <w:r>
        <w:rPr>
          <w:rFonts w:ascii="Verdana" w:hAnsi="Verdana"/>
          <w:sz w:val="20"/>
        </w:rPr>
        <w:t xml:space="preserve">Dommerforeningens medlemmer skal være uavhengige garantister for rettssikkerheten i samfunnet. </w:t>
      </w:r>
    </w:p>
    <w:p w:rsidR="00610572" w:rsidRDefault="00610572" w:rsidP="00610572">
      <w:pPr>
        <w:pStyle w:val="Overskrift1"/>
        <w:rPr>
          <w:rFonts w:ascii="Verdana" w:hAnsi="Verdana"/>
          <w:sz w:val="20"/>
        </w:rPr>
      </w:pPr>
    </w:p>
    <w:p w:rsidR="00610572" w:rsidRDefault="00610572" w:rsidP="00610572">
      <w:pPr>
        <w:pStyle w:val="Overskrift1"/>
        <w:rPr>
          <w:rFonts w:ascii="Verdana" w:hAnsi="Verdana"/>
          <w:sz w:val="20"/>
        </w:rPr>
      </w:pPr>
      <w:r>
        <w:rPr>
          <w:rFonts w:ascii="Verdana" w:hAnsi="Verdana"/>
          <w:sz w:val="20"/>
        </w:rPr>
        <w:t xml:space="preserve">Mål og strategier </w:t>
      </w:r>
    </w:p>
    <w:p w:rsidR="00610572" w:rsidRDefault="00610572" w:rsidP="00610572">
      <w:pPr>
        <w:rPr>
          <w:lang w:eastAsia="nb-NO"/>
        </w:rPr>
      </w:pPr>
    </w:p>
    <w:p w:rsidR="00610572" w:rsidRDefault="00610572" w:rsidP="00610572">
      <w:pPr>
        <w:pStyle w:val="Listeavsnitt"/>
        <w:numPr>
          <w:ilvl w:val="0"/>
          <w:numId w:val="2"/>
        </w:numPr>
      </w:pPr>
      <w:r>
        <w:rPr>
          <w:rFonts w:ascii="Verdana" w:hAnsi="Verdana"/>
          <w:b/>
          <w:bCs/>
          <w:sz w:val="20"/>
        </w:rPr>
        <w:t>Dommernes og domstolenes uavhengighet skal styrkes og synliggjøres</w:t>
      </w:r>
    </w:p>
    <w:p w:rsidR="00610572" w:rsidRDefault="00610572" w:rsidP="00610572">
      <w:pPr>
        <w:pStyle w:val="Brdtekstinnrykk2"/>
      </w:pPr>
      <w:r>
        <w:rPr>
          <w:rFonts w:ascii="Verdana" w:hAnsi="Verdana"/>
          <w:sz w:val="20"/>
        </w:rPr>
        <w:t>Uavhengighet i forhold til de øvrige statsmakter er av sentral betydning for samfunnets tillit til domstolene og dommerne i Norge. Regler og prosedyrer som gjelder domstolenes og dommernes virksomhet må både sikre reell uavhengighet og synliggjøre denne. For å oppnå dette bør det institusjonelle rammeverk innrettes i samsvar med internasjonale anbefalinger og praksis.</w:t>
      </w:r>
    </w:p>
    <w:p w:rsidR="00610572" w:rsidRDefault="00610572" w:rsidP="00610572">
      <w:pPr>
        <w:ind w:left="705"/>
        <w:rPr>
          <w:rFonts w:ascii="Verdana" w:hAnsi="Verdana"/>
          <w:sz w:val="20"/>
        </w:rPr>
      </w:pPr>
    </w:p>
    <w:p w:rsidR="00610572" w:rsidRDefault="00610572" w:rsidP="00610572">
      <w:pPr>
        <w:ind w:left="705"/>
        <w:rPr>
          <w:rFonts w:ascii="Verdana" w:hAnsi="Verdana"/>
          <w:sz w:val="20"/>
        </w:rPr>
      </w:pPr>
      <w:r>
        <w:rPr>
          <w:rFonts w:ascii="Verdana" w:hAnsi="Verdana"/>
          <w:sz w:val="20"/>
        </w:rPr>
        <w:t>Dommerforeningen vil derfor:</w:t>
      </w:r>
    </w:p>
    <w:p w:rsidR="00610572" w:rsidRDefault="00610572" w:rsidP="00610572">
      <w:pPr>
        <w:numPr>
          <w:ilvl w:val="0"/>
          <w:numId w:val="3"/>
        </w:numPr>
        <w:suppressAutoHyphens w:val="0"/>
        <w:spacing w:after="0" w:line="240" w:lineRule="auto"/>
        <w:textAlignment w:val="auto"/>
        <w:rPr>
          <w:rFonts w:ascii="Verdana" w:hAnsi="Verdana"/>
          <w:sz w:val="20"/>
        </w:rPr>
      </w:pPr>
      <w:r>
        <w:rPr>
          <w:rFonts w:ascii="Verdana" w:hAnsi="Verdana"/>
          <w:sz w:val="20"/>
        </w:rPr>
        <w:t>Følge opp arbeidet  i den nye Domstolkommisjonen som ble nedsatt 11. august 2017.</w:t>
      </w:r>
    </w:p>
    <w:p w:rsidR="00610572" w:rsidRDefault="00610572" w:rsidP="00610572">
      <w:pPr>
        <w:numPr>
          <w:ilvl w:val="0"/>
          <w:numId w:val="3"/>
        </w:numPr>
        <w:suppressAutoHyphens w:val="0"/>
        <w:spacing w:after="0" w:line="240" w:lineRule="auto"/>
        <w:textAlignment w:val="auto"/>
        <w:rPr>
          <w:rFonts w:ascii="Verdana" w:hAnsi="Verdana"/>
          <w:sz w:val="20"/>
        </w:rPr>
      </w:pPr>
      <w:r>
        <w:rPr>
          <w:rFonts w:ascii="Verdana" w:hAnsi="Verdana"/>
          <w:sz w:val="20"/>
        </w:rPr>
        <w:t>I alle aktuelle sammenhenger fokusere på spørsmål som berører domstolenes og dommernes uavhengighet.</w:t>
      </w:r>
    </w:p>
    <w:p w:rsidR="00610572" w:rsidRDefault="00610572" w:rsidP="00610572">
      <w:pPr>
        <w:numPr>
          <w:ilvl w:val="0"/>
          <w:numId w:val="3"/>
        </w:numPr>
        <w:suppressAutoHyphens w:val="0"/>
        <w:spacing w:after="0" w:line="240" w:lineRule="auto"/>
        <w:textAlignment w:val="auto"/>
        <w:rPr>
          <w:rFonts w:ascii="Verdana" w:hAnsi="Verdana"/>
          <w:sz w:val="20"/>
        </w:rPr>
      </w:pPr>
      <w:r>
        <w:rPr>
          <w:rFonts w:ascii="Verdana" w:hAnsi="Verdana"/>
          <w:sz w:val="20"/>
        </w:rPr>
        <w:t>Arbeide for bevisstgjøring om og utvikling av dommernes profesjonskultur.</w:t>
      </w:r>
    </w:p>
    <w:p w:rsidR="00610572" w:rsidRDefault="00610572" w:rsidP="00610572">
      <w:pPr>
        <w:numPr>
          <w:ilvl w:val="0"/>
          <w:numId w:val="3"/>
        </w:numPr>
        <w:suppressAutoHyphens w:val="0"/>
        <w:spacing w:after="0" w:line="240" w:lineRule="auto"/>
        <w:textAlignment w:val="auto"/>
        <w:rPr>
          <w:rFonts w:ascii="Verdana" w:hAnsi="Verdana"/>
          <w:sz w:val="20"/>
        </w:rPr>
      </w:pPr>
      <w:r>
        <w:rPr>
          <w:rFonts w:ascii="Verdana" w:hAnsi="Verdana"/>
          <w:sz w:val="20"/>
        </w:rPr>
        <w:t>Arbeide for å klargjøre grensene for den administrative styring av domstolene.</w:t>
      </w:r>
    </w:p>
    <w:p w:rsidR="0010623F" w:rsidRDefault="0010623F"/>
    <w:p w:rsidR="00610572" w:rsidRPr="00610572" w:rsidRDefault="00610572" w:rsidP="00610572">
      <w:pPr>
        <w:numPr>
          <w:ilvl w:val="0"/>
          <w:numId w:val="2"/>
        </w:numPr>
        <w:rPr>
          <w:rFonts w:ascii="Verdana" w:hAnsi="Verdana"/>
          <w:b/>
          <w:bCs/>
          <w:sz w:val="20"/>
        </w:rPr>
      </w:pPr>
      <w:r w:rsidRPr="00610572">
        <w:rPr>
          <w:rFonts w:ascii="Verdana" w:hAnsi="Verdana"/>
          <w:b/>
          <w:bCs/>
          <w:sz w:val="20"/>
        </w:rPr>
        <w:lastRenderedPageBreak/>
        <w:t>Samfunnet skal ha tillit til dommerne og domstolene</w:t>
      </w:r>
    </w:p>
    <w:p w:rsidR="00610572" w:rsidRPr="00610572" w:rsidRDefault="00610572" w:rsidP="00610572">
      <w:pPr>
        <w:suppressAutoHyphens w:val="0"/>
        <w:spacing w:after="0" w:line="240" w:lineRule="auto"/>
        <w:ind w:left="708"/>
        <w:textAlignment w:val="auto"/>
        <w:rPr>
          <w:rFonts w:ascii="Verdana" w:eastAsia="Times New Roman" w:hAnsi="Verdana"/>
          <w:sz w:val="20"/>
          <w:szCs w:val="20"/>
          <w:lang w:eastAsia="nb-NO"/>
        </w:rPr>
      </w:pPr>
    </w:p>
    <w:p w:rsidR="00610572" w:rsidRPr="00610572" w:rsidRDefault="00610572" w:rsidP="00610572">
      <w:pPr>
        <w:suppressAutoHyphens w:val="0"/>
        <w:spacing w:after="0" w:line="240" w:lineRule="auto"/>
        <w:ind w:left="708"/>
        <w:textAlignment w:val="auto"/>
        <w:rPr>
          <w:rFonts w:ascii="Verdana" w:eastAsia="Times New Roman" w:hAnsi="Verdana"/>
          <w:sz w:val="20"/>
          <w:szCs w:val="20"/>
          <w:lang w:eastAsia="nb-NO"/>
        </w:rPr>
      </w:pPr>
      <w:r w:rsidRPr="00610572">
        <w:rPr>
          <w:rFonts w:ascii="Verdana" w:eastAsia="Times New Roman" w:hAnsi="Verdana"/>
          <w:sz w:val="20"/>
          <w:szCs w:val="20"/>
          <w:lang w:eastAsia="nb-NO"/>
        </w:rPr>
        <w:t xml:space="preserve">Tilliten til dommerne og domstolene avhenger av at uavhengige og faglig dyktige dommere i effektive domstoler yter god service overfor brukerne. </w:t>
      </w:r>
    </w:p>
    <w:p w:rsidR="00610572" w:rsidRPr="00610572" w:rsidRDefault="00610572" w:rsidP="00610572">
      <w:pPr>
        <w:suppressAutoHyphens w:val="0"/>
        <w:spacing w:after="0" w:line="240" w:lineRule="auto"/>
        <w:ind w:left="708"/>
        <w:textAlignment w:val="auto"/>
        <w:rPr>
          <w:rFonts w:ascii="Verdana" w:eastAsia="Times New Roman" w:hAnsi="Verdana"/>
          <w:sz w:val="20"/>
          <w:szCs w:val="20"/>
          <w:lang w:eastAsia="nb-NO"/>
        </w:rPr>
      </w:pPr>
    </w:p>
    <w:p w:rsidR="00610572" w:rsidRPr="00610572" w:rsidRDefault="00610572" w:rsidP="00610572">
      <w:pPr>
        <w:suppressAutoHyphens w:val="0"/>
        <w:spacing w:after="0" w:line="240" w:lineRule="auto"/>
        <w:ind w:left="708"/>
        <w:textAlignment w:val="auto"/>
        <w:rPr>
          <w:rFonts w:ascii="Verdana" w:eastAsia="Times New Roman" w:hAnsi="Verdana"/>
          <w:sz w:val="20"/>
          <w:szCs w:val="20"/>
          <w:lang w:eastAsia="nb-NO"/>
        </w:rPr>
      </w:pPr>
      <w:r w:rsidRPr="00610572">
        <w:rPr>
          <w:rFonts w:ascii="Verdana" w:eastAsia="Times New Roman" w:hAnsi="Verdana"/>
          <w:sz w:val="20"/>
          <w:szCs w:val="20"/>
          <w:lang w:eastAsia="nb-NO"/>
        </w:rPr>
        <w:t xml:space="preserve">Dommerforeningen vil derfor:  </w:t>
      </w:r>
    </w:p>
    <w:p w:rsidR="00610572" w:rsidRPr="00610572" w:rsidRDefault="00610572" w:rsidP="00610572">
      <w:pPr>
        <w:suppressAutoHyphens w:val="0"/>
        <w:spacing w:after="0" w:line="240" w:lineRule="auto"/>
        <w:ind w:left="708"/>
        <w:textAlignment w:val="auto"/>
        <w:rPr>
          <w:rFonts w:ascii="Verdana" w:eastAsia="Times New Roman" w:hAnsi="Verdana"/>
          <w:sz w:val="20"/>
          <w:szCs w:val="20"/>
          <w:lang w:eastAsia="nb-NO"/>
        </w:rPr>
      </w:pPr>
    </w:p>
    <w:p w:rsidR="00610572" w:rsidRPr="00610572" w:rsidRDefault="00610572" w:rsidP="00610572">
      <w:pPr>
        <w:suppressAutoHyphens w:val="0"/>
        <w:spacing w:after="0" w:line="240" w:lineRule="auto"/>
        <w:ind w:left="1068" w:hanging="360"/>
        <w:textAlignment w:val="auto"/>
        <w:rPr>
          <w:rFonts w:ascii="Times New Roman" w:eastAsia="Times New Roman" w:hAnsi="Times New Roman"/>
          <w:sz w:val="24"/>
          <w:szCs w:val="20"/>
          <w:lang w:eastAsia="nb-NO"/>
        </w:rPr>
      </w:pPr>
      <w:r w:rsidRPr="00610572">
        <w:rPr>
          <w:rFonts w:ascii="Verdana" w:eastAsia="Times New Roman" w:hAnsi="Verdana"/>
          <w:sz w:val="20"/>
          <w:szCs w:val="20"/>
          <w:lang w:eastAsia="nb-NO"/>
        </w:rPr>
        <w:t>-</w:t>
      </w:r>
      <w:r w:rsidRPr="00610572">
        <w:rPr>
          <w:rFonts w:ascii="Verdana" w:eastAsia="Times New Roman" w:hAnsi="Verdana"/>
          <w:sz w:val="20"/>
          <w:szCs w:val="20"/>
          <w:lang w:eastAsia="nb-NO"/>
        </w:rPr>
        <w:tab/>
        <w:t>Følge opp arbeidet med rekrutteringsundersøkelsen gjennomført av Domstoladministrasjonen i 2016.</w:t>
      </w:r>
    </w:p>
    <w:p w:rsidR="00610572" w:rsidRPr="00610572" w:rsidRDefault="00610572" w:rsidP="00610572">
      <w:pPr>
        <w:numPr>
          <w:ilvl w:val="0"/>
          <w:numId w:val="4"/>
        </w:numPr>
        <w:suppressAutoHyphens w:val="0"/>
        <w:spacing w:after="0" w:line="240" w:lineRule="auto"/>
        <w:textAlignment w:val="auto"/>
      </w:pPr>
      <w:r w:rsidRPr="00610572">
        <w:rPr>
          <w:rFonts w:ascii="Verdana" w:hAnsi="Verdana"/>
          <w:sz w:val="20"/>
        </w:rPr>
        <w:t>Arbeide videre med bevisstgjøring om dommeretikk, herunder gjennom fagutvalget for dommeretikk.</w:t>
      </w:r>
    </w:p>
    <w:p w:rsidR="00610572" w:rsidRPr="00610572" w:rsidRDefault="00610572" w:rsidP="00610572">
      <w:pPr>
        <w:numPr>
          <w:ilvl w:val="0"/>
          <w:numId w:val="4"/>
        </w:numPr>
        <w:suppressAutoHyphens w:val="0"/>
        <w:spacing w:after="0" w:line="240" w:lineRule="auto"/>
        <w:textAlignment w:val="auto"/>
        <w:rPr>
          <w:rFonts w:ascii="Verdana" w:hAnsi="Verdana"/>
          <w:sz w:val="20"/>
        </w:rPr>
      </w:pPr>
      <w:r w:rsidRPr="00610572">
        <w:rPr>
          <w:rFonts w:ascii="Verdana" w:hAnsi="Verdana"/>
          <w:sz w:val="20"/>
        </w:rPr>
        <w:t>Arbeide for kompetansehevende tiltak for dommere og saksbehandlere for å sikre høy kvalitet på domstolenes arbeide og avgjørelser.</w:t>
      </w:r>
    </w:p>
    <w:p w:rsidR="00610572" w:rsidRPr="00610572" w:rsidRDefault="00610572" w:rsidP="00610572">
      <w:pPr>
        <w:numPr>
          <w:ilvl w:val="0"/>
          <w:numId w:val="4"/>
        </w:numPr>
        <w:suppressAutoHyphens w:val="0"/>
        <w:spacing w:after="0" w:line="240" w:lineRule="auto"/>
        <w:textAlignment w:val="auto"/>
        <w:rPr>
          <w:rFonts w:ascii="Verdana" w:hAnsi="Verdana"/>
          <w:sz w:val="20"/>
        </w:rPr>
      </w:pPr>
      <w:r w:rsidRPr="00610572">
        <w:rPr>
          <w:rFonts w:ascii="Verdana" w:hAnsi="Verdana"/>
          <w:sz w:val="20"/>
        </w:rPr>
        <w:t>Arbeide for bedre informasjon om domstolene og dommernes rolle i rettslivet og samfunnet.</w:t>
      </w:r>
    </w:p>
    <w:p w:rsidR="00610572" w:rsidRPr="00610572" w:rsidRDefault="00610572" w:rsidP="00610572">
      <w:pPr>
        <w:rPr>
          <w:rFonts w:ascii="Verdana" w:hAnsi="Verdana"/>
          <w:sz w:val="20"/>
        </w:rPr>
      </w:pPr>
    </w:p>
    <w:p w:rsidR="00610572" w:rsidRPr="00610572" w:rsidRDefault="00610572" w:rsidP="00610572">
      <w:pPr>
        <w:numPr>
          <w:ilvl w:val="0"/>
          <w:numId w:val="2"/>
        </w:numPr>
        <w:suppressAutoHyphens w:val="0"/>
        <w:spacing w:after="0" w:line="240" w:lineRule="auto"/>
        <w:textAlignment w:val="auto"/>
        <w:rPr>
          <w:rFonts w:ascii="Verdana" w:eastAsia="Times New Roman" w:hAnsi="Verdana"/>
          <w:b/>
          <w:bCs/>
          <w:sz w:val="20"/>
          <w:szCs w:val="20"/>
          <w:lang w:eastAsia="nb-NO"/>
        </w:rPr>
      </w:pPr>
      <w:r w:rsidRPr="00610572">
        <w:rPr>
          <w:rFonts w:ascii="Verdana" w:eastAsia="Times New Roman" w:hAnsi="Verdana"/>
          <w:b/>
          <w:bCs/>
          <w:sz w:val="20"/>
          <w:szCs w:val="20"/>
          <w:lang w:eastAsia="nb-NO"/>
        </w:rPr>
        <w:t>Verne om rettsstaten og borgernes rettssikkerhet</w:t>
      </w:r>
    </w:p>
    <w:p w:rsidR="00610572" w:rsidRPr="00610572" w:rsidRDefault="00610572" w:rsidP="00610572">
      <w:pPr>
        <w:suppressAutoHyphens w:val="0"/>
        <w:spacing w:after="0" w:line="240" w:lineRule="auto"/>
        <w:ind w:left="708" w:hanging="348"/>
        <w:textAlignment w:val="auto"/>
        <w:rPr>
          <w:rFonts w:ascii="Verdana" w:eastAsia="Times New Roman" w:hAnsi="Verdana"/>
          <w:b/>
          <w:bCs/>
          <w:sz w:val="20"/>
          <w:szCs w:val="20"/>
          <w:lang w:eastAsia="nb-NO"/>
        </w:rPr>
      </w:pPr>
    </w:p>
    <w:p w:rsidR="00610572" w:rsidRPr="00610572" w:rsidRDefault="00610572" w:rsidP="00610572">
      <w:pPr>
        <w:suppressAutoHyphens w:val="0"/>
        <w:spacing w:after="0" w:line="240" w:lineRule="auto"/>
        <w:ind w:left="708" w:hanging="348"/>
        <w:textAlignment w:val="auto"/>
        <w:rPr>
          <w:rFonts w:ascii="Verdana" w:eastAsia="Times New Roman" w:hAnsi="Verdana"/>
          <w:sz w:val="20"/>
          <w:szCs w:val="20"/>
          <w:lang w:eastAsia="nb-NO"/>
        </w:rPr>
      </w:pPr>
      <w:r w:rsidRPr="00610572">
        <w:rPr>
          <w:rFonts w:ascii="Verdana" w:eastAsia="Times New Roman" w:hAnsi="Verdana"/>
          <w:b/>
          <w:bCs/>
          <w:sz w:val="20"/>
          <w:szCs w:val="20"/>
          <w:lang w:eastAsia="nb-NO"/>
        </w:rPr>
        <w:tab/>
      </w:r>
      <w:r w:rsidRPr="00610572">
        <w:rPr>
          <w:rFonts w:ascii="Verdana" w:eastAsia="Times New Roman" w:hAnsi="Verdana"/>
          <w:bCs/>
          <w:sz w:val="20"/>
          <w:szCs w:val="20"/>
          <w:lang w:eastAsia="nb-NO"/>
        </w:rPr>
        <w:t>Et velfungerende rettssystem og respekt for borgernes rettssikkerhet er grunnleggende elementer i en rettsstat, og dommerne har en sentral rolle i dette. Dommerne har også kunnskap og erfaring som kan være til nytte for andre myndigheters arbeid med dette. Dommerforeningen vil derfor:</w:t>
      </w:r>
    </w:p>
    <w:p w:rsidR="00610572" w:rsidRPr="00610572" w:rsidRDefault="00610572" w:rsidP="00610572">
      <w:pPr>
        <w:suppressAutoHyphens w:val="0"/>
        <w:spacing w:after="0" w:line="240" w:lineRule="auto"/>
        <w:ind w:left="708" w:hanging="348"/>
        <w:textAlignment w:val="auto"/>
        <w:rPr>
          <w:rFonts w:ascii="Verdana" w:eastAsia="Times New Roman" w:hAnsi="Verdana"/>
          <w:bCs/>
          <w:sz w:val="20"/>
          <w:szCs w:val="20"/>
          <w:lang w:eastAsia="nb-NO"/>
        </w:rPr>
      </w:pPr>
    </w:p>
    <w:p w:rsidR="00610572" w:rsidRPr="00610572" w:rsidRDefault="00610572" w:rsidP="00610572">
      <w:pPr>
        <w:suppressAutoHyphens w:val="0"/>
        <w:spacing w:after="0" w:line="240" w:lineRule="auto"/>
        <w:ind w:left="1068" w:hanging="360"/>
        <w:textAlignment w:val="auto"/>
        <w:rPr>
          <w:rFonts w:ascii="Verdana" w:eastAsia="Times New Roman" w:hAnsi="Verdana"/>
          <w:sz w:val="20"/>
          <w:szCs w:val="20"/>
          <w:lang w:eastAsia="nb-NO"/>
        </w:rPr>
      </w:pPr>
      <w:r w:rsidRPr="00610572">
        <w:rPr>
          <w:rFonts w:ascii="Verdana" w:eastAsia="Times New Roman" w:hAnsi="Verdana"/>
          <w:sz w:val="20"/>
          <w:szCs w:val="20"/>
          <w:lang w:eastAsia="nb-NO"/>
        </w:rPr>
        <w:t>-</w:t>
      </w:r>
      <w:r w:rsidRPr="00610572">
        <w:rPr>
          <w:rFonts w:ascii="Verdana" w:eastAsia="Times New Roman" w:hAnsi="Verdana"/>
          <w:sz w:val="20"/>
          <w:szCs w:val="20"/>
          <w:lang w:eastAsia="nb-NO"/>
        </w:rPr>
        <w:tab/>
        <w:t>Arbeide for at rettsstatlige prinsipper og borgernes rettssikkerhet blir ivaretatt, både i Norge og internasjonalt.</w:t>
      </w:r>
    </w:p>
    <w:p w:rsidR="00610572" w:rsidRPr="00610572" w:rsidRDefault="00610572" w:rsidP="00610572">
      <w:pPr>
        <w:suppressAutoHyphens w:val="0"/>
        <w:spacing w:after="0" w:line="240" w:lineRule="auto"/>
        <w:ind w:left="1068" w:hanging="360"/>
        <w:textAlignment w:val="auto"/>
        <w:rPr>
          <w:rFonts w:ascii="Verdana" w:eastAsia="Times New Roman" w:hAnsi="Verdana"/>
          <w:sz w:val="20"/>
          <w:szCs w:val="20"/>
          <w:lang w:eastAsia="nb-NO"/>
        </w:rPr>
      </w:pPr>
      <w:r w:rsidRPr="00610572">
        <w:rPr>
          <w:rFonts w:ascii="Verdana" w:eastAsia="Times New Roman" w:hAnsi="Verdana"/>
          <w:sz w:val="20"/>
          <w:szCs w:val="20"/>
          <w:lang w:eastAsia="nb-NO"/>
        </w:rPr>
        <w:t>-</w:t>
      </w:r>
      <w:r w:rsidRPr="00610572">
        <w:rPr>
          <w:rFonts w:ascii="Verdana" w:eastAsia="Times New Roman" w:hAnsi="Verdana"/>
          <w:sz w:val="20"/>
          <w:szCs w:val="20"/>
          <w:lang w:eastAsia="nb-NO"/>
        </w:rPr>
        <w:tab/>
        <w:t>Delta i samfunnsdebatten om viktige spørsmål av betydning for rettsstat, rettssikkerhet og menneskerettigheter.</w:t>
      </w:r>
    </w:p>
    <w:p w:rsidR="00610572" w:rsidRPr="00610572" w:rsidRDefault="00610572" w:rsidP="00610572">
      <w:pPr>
        <w:suppressAutoHyphens w:val="0"/>
        <w:spacing w:after="0" w:line="240" w:lineRule="auto"/>
        <w:ind w:left="1068" w:hanging="360"/>
        <w:textAlignment w:val="auto"/>
        <w:rPr>
          <w:rFonts w:ascii="Verdana" w:eastAsia="Times New Roman" w:hAnsi="Verdana"/>
          <w:sz w:val="20"/>
          <w:szCs w:val="20"/>
          <w:lang w:eastAsia="nb-NO"/>
        </w:rPr>
      </w:pPr>
      <w:r w:rsidRPr="00610572">
        <w:rPr>
          <w:rFonts w:ascii="Verdana" w:eastAsia="Times New Roman" w:hAnsi="Verdana"/>
          <w:sz w:val="20"/>
          <w:szCs w:val="20"/>
          <w:lang w:eastAsia="nb-NO"/>
        </w:rPr>
        <w:t>-</w:t>
      </w:r>
      <w:r w:rsidRPr="00610572">
        <w:rPr>
          <w:rFonts w:ascii="Verdana" w:eastAsia="Times New Roman" w:hAnsi="Verdana"/>
          <w:sz w:val="20"/>
          <w:szCs w:val="20"/>
          <w:lang w:eastAsia="nb-NO"/>
        </w:rPr>
        <w:tab/>
        <w:t>Delta i internasjonalt samarbeid om rettssikkerhet og menneskerettigheter.</w:t>
      </w:r>
    </w:p>
    <w:p w:rsidR="00610572" w:rsidRPr="00610572" w:rsidRDefault="00610572" w:rsidP="00610572">
      <w:pPr>
        <w:suppressAutoHyphens w:val="0"/>
        <w:spacing w:after="0" w:line="240" w:lineRule="auto"/>
        <w:ind w:left="1068" w:hanging="360"/>
        <w:textAlignment w:val="auto"/>
        <w:rPr>
          <w:rFonts w:ascii="Times New Roman" w:eastAsia="Times New Roman" w:hAnsi="Times New Roman"/>
          <w:sz w:val="24"/>
          <w:szCs w:val="20"/>
          <w:lang w:eastAsia="nb-NO"/>
        </w:rPr>
      </w:pPr>
    </w:p>
    <w:p w:rsidR="00610572" w:rsidRPr="00610572" w:rsidRDefault="00610572" w:rsidP="00610572">
      <w:pPr>
        <w:numPr>
          <w:ilvl w:val="0"/>
          <w:numId w:val="2"/>
        </w:numPr>
        <w:suppressAutoHyphens w:val="0"/>
        <w:spacing w:after="0" w:line="240" w:lineRule="auto"/>
        <w:textAlignment w:val="auto"/>
        <w:rPr>
          <w:rFonts w:ascii="Verdana" w:eastAsia="Times New Roman" w:hAnsi="Verdana"/>
          <w:sz w:val="20"/>
          <w:szCs w:val="20"/>
          <w:lang w:eastAsia="nb-NO"/>
        </w:rPr>
      </w:pPr>
      <w:r w:rsidRPr="00610572">
        <w:rPr>
          <w:rFonts w:ascii="Verdana" w:eastAsia="Times New Roman" w:hAnsi="Verdana"/>
          <w:b/>
          <w:bCs/>
          <w:sz w:val="20"/>
          <w:szCs w:val="20"/>
          <w:lang w:eastAsia="nb-NO"/>
        </w:rPr>
        <w:t>Dommerne skal være blant de best avlønnede i offentlig sektor. Pensjonsrettighetene skal minst være på det nivå de er i dag</w:t>
      </w:r>
    </w:p>
    <w:p w:rsidR="00610572" w:rsidRPr="00610572" w:rsidRDefault="00610572" w:rsidP="00610572">
      <w:pPr>
        <w:suppressAutoHyphens w:val="0"/>
        <w:spacing w:after="0" w:line="240" w:lineRule="auto"/>
        <w:ind w:left="708"/>
        <w:textAlignment w:val="auto"/>
        <w:rPr>
          <w:rFonts w:ascii="Verdana" w:eastAsia="Times New Roman" w:hAnsi="Verdana"/>
          <w:sz w:val="20"/>
          <w:szCs w:val="20"/>
          <w:lang w:eastAsia="nb-NO"/>
        </w:rPr>
      </w:pPr>
    </w:p>
    <w:p w:rsidR="00610572" w:rsidRPr="00610572" w:rsidRDefault="00610572" w:rsidP="00610572">
      <w:pPr>
        <w:suppressAutoHyphens w:val="0"/>
        <w:spacing w:after="0" w:line="240" w:lineRule="auto"/>
        <w:ind w:left="708"/>
        <w:textAlignment w:val="auto"/>
        <w:rPr>
          <w:rFonts w:ascii="Times New Roman" w:eastAsia="Times New Roman" w:hAnsi="Times New Roman"/>
          <w:sz w:val="24"/>
          <w:szCs w:val="20"/>
          <w:lang w:eastAsia="nb-NO"/>
        </w:rPr>
      </w:pPr>
      <w:r w:rsidRPr="00610572">
        <w:rPr>
          <w:rFonts w:ascii="Verdana" w:eastAsia="Times New Roman" w:hAnsi="Verdana"/>
          <w:sz w:val="20"/>
          <w:szCs w:val="20"/>
          <w:lang w:eastAsia="nb-NO"/>
        </w:rPr>
        <w:t>For å sikre at dyktige dommere forblir i embetene, og at de best kvalifiserte og egnede jurister søker dommerstillinger, må dommerne tilbys konkurransedyktig lønn og gode pensjonsvilkår. Lønns- og pensjonsvilkår er en høyt prioritert oppgave for foreningen.</w:t>
      </w:r>
    </w:p>
    <w:p w:rsidR="00610572" w:rsidRPr="00610572" w:rsidRDefault="00610572" w:rsidP="00610572">
      <w:pPr>
        <w:ind w:left="708"/>
        <w:rPr>
          <w:rFonts w:ascii="Verdana" w:hAnsi="Verdana"/>
          <w:sz w:val="20"/>
        </w:rPr>
      </w:pPr>
    </w:p>
    <w:p w:rsidR="00610572" w:rsidRPr="00610572" w:rsidRDefault="00610572" w:rsidP="00610572">
      <w:pPr>
        <w:ind w:left="708"/>
        <w:rPr>
          <w:rFonts w:ascii="Verdana" w:hAnsi="Verdana"/>
          <w:sz w:val="20"/>
        </w:rPr>
      </w:pPr>
      <w:r w:rsidRPr="00610572">
        <w:rPr>
          <w:rFonts w:ascii="Verdana" w:hAnsi="Verdana"/>
          <w:sz w:val="20"/>
        </w:rPr>
        <w:t xml:space="preserve">Dommerforeningen vil derfor: </w:t>
      </w:r>
    </w:p>
    <w:p w:rsidR="00610572" w:rsidRPr="00610572" w:rsidRDefault="00610572" w:rsidP="00610572">
      <w:pPr>
        <w:numPr>
          <w:ilvl w:val="0"/>
          <w:numId w:val="4"/>
        </w:numPr>
        <w:suppressAutoHyphens w:val="0"/>
        <w:spacing w:after="0" w:line="240" w:lineRule="auto"/>
        <w:textAlignment w:val="auto"/>
        <w:rPr>
          <w:rFonts w:ascii="Verdana" w:hAnsi="Verdana"/>
          <w:sz w:val="20"/>
        </w:rPr>
      </w:pPr>
      <w:r w:rsidRPr="00610572">
        <w:rPr>
          <w:rFonts w:ascii="Verdana" w:hAnsi="Verdana"/>
          <w:sz w:val="20"/>
        </w:rPr>
        <w:t>Søke aktiv samhandling og kommunikasjon med de instanser og personer som har innflytelse på dommernes lønns- og pensjonsforhold.</w:t>
      </w:r>
    </w:p>
    <w:p w:rsidR="00610572" w:rsidRPr="00610572" w:rsidRDefault="00610572" w:rsidP="00610572">
      <w:pPr>
        <w:numPr>
          <w:ilvl w:val="0"/>
          <w:numId w:val="4"/>
        </w:numPr>
        <w:suppressAutoHyphens w:val="0"/>
        <w:spacing w:after="0" w:line="240" w:lineRule="auto"/>
        <w:textAlignment w:val="auto"/>
        <w:rPr>
          <w:rFonts w:ascii="Verdana" w:hAnsi="Verdana"/>
          <w:sz w:val="20"/>
        </w:rPr>
      </w:pPr>
      <w:r w:rsidRPr="00610572">
        <w:rPr>
          <w:rFonts w:ascii="Verdana" w:hAnsi="Verdana"/>
          <w:sz w:val="20"/>
        </w:rPr>
        <w:t>Ha fokus på den relative lønnsutvikling mellom dommerne i de ulike instanser.</w:t>
      </w:r>
    </w:p>
    <w:p w:rsidR="00610572" w:rsidRPr="00610572" w:rsidRDefault="00610572" w:rsidP="00610572">
      <w:pPr>
        <w:numPr>
          <w:ilvl w:val="0"/>
          <w:numId w:val="4"/>
        </w:numPr>
        <w:suppressAutoHyphens w:val="0"/>
        <w:spacing w:after="0" w:line="240" w:lineRule="auto"/>
        <w:textAlignment w:val="auto"/>
        <w:rPr>
          <w:rFonts w:ascii="Verdana" w:hAnsi="Verdana"/>
          <w:sz w:val="20"/>
        </w:rPr>
      </w:pPr>
      <w:r w:rsidRPr="00610572">
        <w:rPr>
          <w:rFonts w:ascii="Verdana" w:hAnsi="Verdana"/>
          <w:sz w:val="20"/>
        </w:rPr>
        <w:t>Vurdere endringer av det nåværende lønnssystem.</w:t>
      </w:r>
    </w:p>
    <w:p w:rsidR="00610572" w:rsidRPr="00610572" w:rsidRDefault="00610572" w:rsidP="00610572">
      <w:pPr>
        <w:numPr>
          <w:ilvl w:val="0"/>
          <w:numId w:val="4"/>
        </w:numPr>
        <w:suppressAutoHyphens w:val="0"/>
        <w:spacing w:after="0" w:line="240" w:lineRule="auto"/>
        <w:textAlignment w:val="auto"/>
        <w:rPr>
          <w:rFonts w:ascii="Verdana" w:hAnsi="Verdana"/>
          <w:sz w:val="20"/>
        </w:rPr>
      </w:pPr>
      <w:r w:rsidRPr="00610572">
        <w:rPr>
          <w:rFonts w:ascii="Verdana" w:hAnsi="Verdana"/>
          <w:sz w:val="20"/>
        </w:rPr>
        <w:t>Arbeide for forbedring av prosedyrene for lønnsfastsettelse.</w:t>
      </w:r>
    </w:p>
    <w:p w:rsidR="00610572" w:rsidRPr="00610572" w:rsidRDefault="00610572" w:rsidP="00610572">
      <w:pPr>
        <w:rPr>
          <w:rFonts w:ascii="Verdana" w:hAnsi="Verdana"/>
          <w:sz w:val="20"/>
        </w:rPr>
      </w:pPr>
    </w:p>
    <w:p w:rsidR="00610572" w:rsidRPr="00610572" w:rsidRDefault="00610572" w:rsidP="00610572">
      <w:pPr>
        <w:numPr>
          <w:ilvl w:val="0"/>
          <w:numId w:val="2"/>
        </w:numPr>
        <w:suppressAutoHyphens w:val="0"/>
        <w:spacing w:after="0" w:line="240" w:lineRule="auto"/>
        <w:textAlignment w:val="auto"/>
        <w:rPr>
          <w:rFonts w:ascii="Verdana" w:hAnsi="Verdana"/>
          <w:b/>
          <w:bCs/>
          <w:sz w:val="20"/>
        </w:rPr>
      </w:pPr>
      <w:r w:rsidRPr="00610572">
        <w:rPr>
          <w:rFonts w:ascii="Verdana" w:hAnsi="Verdana"/>
          <w:b/>
          <w:bCs/>
          <w:sz w:val="20"/>
        </w:rPr>
        <w:t>Bedre arbeidsforhold i domstolene</w:t>
      </w:r>
    </w:p>
    <w:p w:rsidR="00610572" w:rsidRPr="00610572" w:rsidRDefault="00610572" w:rsidP="00610572">
      <w:pPr>
        <w:rPr>
          <w:rFonts w:ascii="Verdana" w:hAnsi="Verdana"/>
          <w:sz w:val="20"/>
        </w:rPr>
      </w:pPr>
    </w:p>
    <w:p w:rsidR="00610572" w:rsidRPr="00610572" w:rsidRDefault="00610572" w:rsidP="00610572">
      <w:pPr>
        <w:suppressAutoHyphens w:val="0"/>
        <w:spacing w:after="0" w:line="240" w:lineRule="auto"/>
        <w:ind w:left="708"/>
        <w:textAlignment w:val="auto"/>
        <w:rPr>
          <w:rFonts w:ascii="Times New Roman" w:eastAsia="Times New Roman" w:hAnsi="Times New Roman"/>
          <w:sz w:val="24"/>
          <w:szCs w:val="20"/>
          <w:lang w:eastAsia="nb-NO"/>
        </w:rPr>
      </w:pPr>
      <w:r w:rsidRPr="00610572">
        <w:rPr>
          <w:rFonts w:ascii="Verdana" w:eastAsia="Times New Roman" w:hAnsi="Verdana"/>
          <w:sz w:val="20"/>
          <w:szCs w:val="20"/>
          <w:lang w:eastAsia="nb-NO"/>
        </w:rPr>
        <w:t xml:space="preserve">En god og effektiv rettspleie forutsetter tilstrekkelige dommerstillinger og andre personellressurser i domstolene, gode lokaler, godt arbeidsmiljø og effektivt arbeidsverktøy. </w:t>
      </w:r>
    </w:p>
    <w:p w:rsidR="00610572" w:rsidRDefault="00610572"/>
    <w:p w:rsidR="00610572" w:rsidRPr="00610572" w:rsidRDefault="00610572" w:rsidP="00610572">
      <w:pPr>
        <w:ind w:left="708"/>
        <w:rPr>
          <w:rFonts w:ascii="Verdana" w:hAnsi="Verdana"/>
          <w:sz w:val="20"/>
        </w:rPr>
      </w:pPr>
      <w:r w:rsidRPr="00610572">
        <w:rPr>
          <w:rFonts w:ascii="Verdana" w:hAnsi="Verdana"/>
          <w:sz w:val="20"/>
        </w:rPr>
        <w:lastRenderedPageBreak/>
        <w:t xml:space="preserve">Dommerforeningen vil derfor: </w:t>
      </w:r>
    </w:p>
    <w:p w:rsidR="00610572" w:rsidRPr="00610572" w:rsidRDefault="00610572" w:rsidP="00610572">
      <w:pPr>
        <w:numPr>
          <w:ilvl w:val="0"/>
          <w:numId w:val="4"/>
        </w:numPr>
        <w:suppressAutoHyphens w:val="0"/>
        <w:spacing w:after="0" w:line="240" w:lineRule="auto"/>
        <w:textAlignment w:val="auto"/>
        <w:rPr>
          <w:rFonts w:ascii="Verdana" w:hAnsi="Verdana"/>
          <w:sz w:val="20"/>
        </w:rPr>
      </w:pPr>
      <w:r w:rsidRPr="00610572">
        <w:rPr>
          <w:rFonts w:ascii="Verdana" w:hAnsi="Verdana"/>
          <w:sz w:val="20"/>
        </w:rPr>
        <w:t>Arbeide for god ressurstilgang til domstolene.</w:t>
      </w:r>
    </w:p>
    <w:p w:rsidR="00610572" w:rsidRPr="00610572" w:rsidRDefault="00610572" w:rsidP="00610572">
      <w:pPr>
        <w:numPr>
          <w:ilvl w:val="0"/>
          <w:numId w:val="4"/>
        </w:numPr>
        <w:suppressAutoHyphens w:val="0"/>
        <w:spacing w:after="0" w:line="240" w:lineRule="auto"/>
        <w:textAlignment w:val="auto"/>
        <w:rPr>
          <w:rFonts w:ascii="Verdana" w:hAnsi="Verdana"/>
          <w:sz w:val="20"/>
        </w:rPr>
      </w:pPr>
      <w:r w:rsidRPr="00610572">
        <w:rPr>
          <w:rFonts w:ascii="Verdana" w:hAnsi="Verdana"/>
          <w:sz w:val="20"/>
        </w:rPr>
        <w:t>Arbeide for at det i domstolenes lokaler tilrettelegges for et høyt servicenivå og et godt arbeidsmiljø.</w:t>
      </w:r>
    </w:p>
    <w:p w:rsidR="00610572" w:rsidRPr="00610572" w:rsidRDefault="00610572" w:rsidP="00610572">
      <w:pPr>
        <w:numPr>
          <w:ilvl w:val="0"/>
          <w:numId w:val="4"/>
        </w:numPr>
        <w:suppressAutoHyphens w:val="0"/>
        <w:spacing w:after="0" w:line="240" w:lineRule="auto"/>
        <w:textAlignment w:val="auto"/>
        <w:rPr>
          <w:rFonts w:ascii="Verdana" w:hAnsi="Verdana"/>
          <w:sz w:val="20"/>
        </w:rPr>
      </w:pPr>
      <w:r w:rsidRPr="00610572">
        <w:rPr>
          <w:rFonts w:ascii="Verdana" w:hAnsi="Verdana"/>
          <w:sz w:val="20"/>
        </w:rPr>
        <w:t>Arbeide for tidsmessige IKT-løsninger og implementering av digitale løsninger som også ivaretar dommerne på en god måte.</w:t>
      </w:r>
    </w:p>
    <w:p w:rsidR="00610572" w:rsidRPr="00610572" w:rsidRDefault="00610572" w:rsidP="00610572">
      <w:pPr>
        <w:numPr>
          <w:ilvl w:val="0"/>
          <w:numId w:val="4"/>
        </w:numPr>
        <w:suppressAutoHyphens w:val="0"/>
        <w:spacing w:after="0" w:line="240" w:lineRule="auto"/>
        <w:textAlignment w:val="auto"/>
        <w:rPr>
          <w:rFonts w:ascii="Verdana" w:hAnsi="Verdana"/>
          <w:sz w:val="20"/>
        </w:rPr>
      </w:pPr>
      <w:r w:rsidRPr="00610572">
        <w:rPr>
          <w:rFonts w:ascii="Verdana" w:hAnsi="Verdana"/>
          <w:sz w:val="20"/>
        </w:rPr>
        <w:t>Arbeide for at sikkerheten ivaretas i samtlige av domstolenes lokaler.</w:t>
      </w:r>
    </w:p>
    <w:p w:rsidR="00610572" w:rsidRPr="00610572" w:rsidRDefault="00610572" w:rsidP="00610572">
      <w:pPr>
        <w:numPr>
          <w:ilvl w:val="0"/>
          <w:numId w:val="4"/>
        </w:numPr>
        <w:suppressAutoHyphens w:val="0"/>
        <w:spacing w:after="0" w:line="240" w:lineRule="auto"/>
        <w:textAlignment w:val="auto"/>
      </w:pPr>
      <w:r w:rsidRPr="00610572">
        <w:rPr>
          <w:rFonts w:ascii="Verdana" w:hAnsi="Verdana"/>
          <w:sz w:val="20"/>
        </w:rPr>
        <w:t>Arbeide for at dommerne skal ha rimelig grad av fleksibilitet i sin arbeidssituasjon.</w:t>
      </w:r>
    </w:p>
    <w:p w:rsidR="00610572" w:rsidRPr="00610572" w:rsidRDefault="00610572" w:rsidP="00610572">
      <w:pPr>
        <w:suppressAutoHyphens w:val="0"/>
        <w:spacing w:after="0" w:line="240" w:lineRule="auto"/>
        <w:textAlignment w:val="auto"/>
        <w:rPr>
          <w:rFonts w:ascii="Verdana" w:hAnsi="Verdana"/>
          <w:sz w:val="20"/>
        </w:rPr>
      </w:pPr>
    </w:p>
    <w:p w:rsidR="00610572" w:rsidRPr="00610572" w:rsidRDefault="00610572" w:rsidP="00610572">
      <w:pPr>
        <w:numPr>
          <w:ilvl w:val="0"/>
          <w:numId w:val="2"/>
        </w:numPr>
        <w:suppressAutoHyphens w:val="0"/>
        <w:spacing w:after="0" w:line="240" w:lineRule="auto"/>
        <w:textAlignment w:val="auto"/>
        <w:rPr>
          <w:rFonts w:ascii="Verdana" w:hAnsi="Verdana"/>
          <w:b/>
          <w:bCs/>
          <w:sz w:val="20"/>
        </w:rPr>
      </w:pPr>
      <w:r w:rsidRPr="00610572">
        <w:rPr>
          <w:rFonts w:ascii="Verdana" w:hAnsi="Verdana"/>
          <w:b/>
          <w:bCs/>
          <w:sz w:val="20"/>
        </w:rPr>
        <w:t>Alle ansatte i domstolene skal holde et høyt faglig nivå</w:t>
      </w:r>
    </w:p>
    <w:p w:rsidR="00610572" w:rsidRPr="00610572" w:rsidRDefault="00610572" w:rsidP="00610572">
      <w:pPr>
        <w:rPr>
          <w:rFonts w:ascii="Verdana" w:hAnsi="Verdana"/>
          <w:sz w:val="20"/>
        </w:rPr>
      </w:pPr>
      <w:r w:rsidRPr="00610572">
        <w:rPr>
          <w:rFonts w:ascii="Verdana" w:hAnsi="Verdana"/>
          <w:sz w:val="20"/>
        </w:rPr>
        <w:t xml:space="preserve"> </w:t>
      </w:r>
    </w:p>
    <w:p w:rsidR="00610572" w:rsidRPr="00610572" w:rsidRDefault="00610572" w:rsidP="00610572">
      <w:pPr>
        <w:suppressAutoHyphens w:val="0"/>
        <w:spacing w:after="0" w:line="240" w:lineRule="auto"/>
        <w:ind w:left="708"/>
        <w:textAlignment w:val="auto"/>
        <w:rPr>
          <w:rFonts w:ascii="Times New Roman" w:eastAsia="Times New Roman" w:hAnsi="Times New Roman"/>
          <w:sz w:val="24"/>
          <w:szCs w:val="20"/>
          <w:lang w:eastAsia="nb-NO"/>
        </w:rPr>
      </w:pPr>
      <w:r w:rsidRPr="00610572">
        <w:rPr>
          <w:rFonts w:ascii="Verdana" w:eastAsia="Times New Roman" w:hAnsi="Verdana"/>
          <w:sz w:val="20"/>
          <w:szCs w:val="20"/>
          <w:lang w:eastAsia="nb-NO"/>
        </w:rPr>
        <w:t xml:space="preserve">Både for samfunnet og for den enkelte dommer er det påkrevd at dommerne gis gode muligheter til faglig utvikling og oppdatering. Det må tilføres betydelige midler til etterutdanning generelt, og til studiepermisjonsordningen spesielt. </w:t>
      </w:r>
    </w:p>
    <w:p w:rsidR="00610572" w:rsidRPr="00610572" w:rsidRDefault="00610572" w:rsidP="00610572">
      <w:pPr>
        <w:suppressAutoHyphens w:val="0"/>
        <w:spacing w:after="0" w:line="240" w:lineRule="auto"/>
        <w:ind w:left="708"/>
        <w:textAlignment w:val="auto"/>
        <w:rPr>
          <w:rFonts w:ascii="Verdana" w:eastAsia="Times New Roman" w:hAnsi="Verdana"/>
          <w:sz w:val="20"/>
          <w:szCs w:val="20"/>
          <w:lang w:eastAsia="nb-NO"/>
        </w:rPr>
      </w:pPr>
    </w:p>
    <w:p w:rsidR="00610572" w:rsidRPr="00610572" w:rsidRDefault="00610572" w:rsidP="00610572">
      <w:pPr>
        <w:suppressAutoHyphens w:val="0"/>
        <w:spacing w:after="0" w:line="240" w:lineRule="auto"/>
        <w:ind w:left="708"/>
        <w:textAlignment w:val="auto"/>
        <w:rPr>
          <w:rFonts w:ascii="Verdana" w:eastAsia="Times New Roman" w:hAnsi="Verdana"/>
          <w:sz w:val="20"/>
          <w:szCs w:val="20"/>
          <w:lang w:eastAsia="nb-NO"/>
        </w:rPr>
      </w:pPr>
      <w:r w:rsidRPr="00610572">
        <w:rPr>
          <w:rFonts w:ascii="Verdana" w:eastAsia="Times New Roman" w:hAnsi="Verdana"/>
          <w:sz w:val="20"/>
          <w:szCs w:val="20"/>
          <w:lang w:eastAsia="nb-NO"/>
        </w:rPr>
        <w:t>Dommerforeningen vil derfor:</w:t>
      </w:r>
    </w:p>
    <w:p w:rsidR="00610572" w:rsidRPr="00610572" w:rsidRDefault="00610572" w:rsidP="00610572">
      <w:pPr>
        <w:suppressAutoHyphens w:val="0"/>
        <w:spacing w:after="0" w:line="240" w:lineRule="auto"/>
        <w:ind w:left="708"/>
        <w:textAlignment w:val="auto"/>
        <w:rPr>
          <w:rFonts w:ascii="Verdana" w:eastAsia="Times New Roman" w:hAnsi="Verdana"/>
          <w:sz w:val="20"/>
          <w:szCs w:val="20"/>
          <w:lang w:eastAsia="nb-NO"/>
        </w:rPr>
      </w:pPr>
      <w:r w:rsidRPr="00610572">
        <w:rPr>
          <w:rFonts w:ascii="Verdana" w:eastAsia="Times New Roman" w:hAnsi="Verdana"/>
          <w:sz w:val="20"/>
          <w:szCs w:val="20"/>
          <w:lang w:eastAsia="nb-NO"/>
        </w:rPr>
        <w:t xml:space="preserve">  </w:t>
      </w:r>
    </w:p>
    <w:p w:rsidR="00610572" w:rsidRPr="00610572" w:rsidRDefault="00610572" w:rsidP="00610572">
      <w:pPr>
        <w:numPr>
          <w:ilvl w:val="0"/>
          <w:numId w:val="4"/>
        </w:numPr>
        <w:suppressAutoHyphens w:val="0"/>
        <w:spacing w:after="0" w:line="240" w:lineRule="auto"/>
        <w:textAlignment w:val="auto"/>
        <w:rPr>
          <w:rFonts w:ascii="Verdana" w:hAnsi="Verdana"/>
          <w:sz w:val="20"/>
        </w:rPr>
      </w:pPr>
      <w:r w:rsidRPr="00610572">
        <w:rPr>
          <w:rFonts w:ascii="Verdana" w:hAnsi="Verdana"/>
          <w:sz w:val="20"/>
        </w:rPr>
        <w:t>Arbeide for å øke og bedre utnyttelsen av ressursene til kompetansetiltak i domstolene.</w:t>
      </w:r>
    </w:p>
    <w:p w:rsidR="00610572" w:rsidRPr="00610572" w:rsidRDefault="00610572" w:rsidP="00610572">
      <w:pPr>
        <w:numPr>
          <w:ilvl w:val="0"/>
          <w:numId w:val="4"/>
        </w:numPr>
        <w:suppressAutoHyphens w:val="0"/>
        <w:spacing w:after="0" w:line="240" w:lineRule="auto"/>
        <w:textAlignment w:val="auto"/>
      </w:pPr>
      <w:r w:rsidRPr="00610572">
        <w:rPr>
          <w:rFonts w:ascii="Verdana" w:hAnsi="Verdana"/>
          <w:sz w:val="20"/>
        </w:rPr>
        <w:t>Arbeide for at det avsettes tilstrekkelig tid til kompetanseheving for den enkelte dommer.</w:t>
      </w:r>
    </w:p>
    <w:p w:rsidR="00610572" w:rsidRPr="00610572" w:rsidRDefault="00610572" w:rsidP="00610572">
      <w:pPr>
        <w:numPr>
          <w:ilvl w:val="0"/>
          <w:numId w:val="4"/>
        </w:numPr>
        <w:suppressAutoHyphens w:val="0"/>
        <w:spacing w:after="0" w:line="240" w:lineRule="auto"/>
        <w:textAlignment w:val="auto"/>
      </w:pPr>
      <w:r w:rsidRPr="00610572">
        <w:rPr>
          <w:rFonts w:ascii="Verdana" w:hAnsi="Verdana"/>
          <w:sz w:val="20"/>
        </w:rPr>
        <w:t>Arbeide for at studiepermisjonsordningen styrkes ytterligere..</w:t>
      </w:r>
    </w:p>
    <w:p w:rsidR="00610572" w:rsidRPr="00610572" w:rsidRDefault="00610572" w:rsidP="00610572">
      <w:pPr>
        <w:rPr>
          <w:rFonts w:ascii="Verdana" w:hAnsi="Verdana"/>
          <w:sz w:val="20"/>
        </w:rPr>
      </w:pPr>
    </w:p>
    <w:p w:rsidR="00610572" w:rsidRPr="00610572" w:rsidRDefault="00610572" w:rsidP="00610572">
      <w:pPr>
        <w:numPr>
          <w:ilvl w:val="0"/>
          <w:numId w:val="2"/>
        </w:numPr>
        <w:suppressAutoHyphens w:val="0"/>
        <w:spacing w:after="0" w:line="240" w:lineRule="auto"/>
        <w:textAlignment w:val="auto"/>
      </w:pPr>
      <w:r w:rsidRPr="00610572">
        <w:rPr>
          <w:rFonts w:ascii="Verdana" w:hAnsi="Verdana"/>
          <w:b/>
          <w:bCs/>
          <w:sz w:val="20"/>
        </w:rPr>
        <w:t>Dommerforeningen vil etablere og utvikle gode interne og eksterne relasjoner som fremmer foreningens formål og visjon</w:t>
      </w:r>
    </w:p>
    <w:p w:rsidR="00610572" w:rsidRPr="00610572" w:rsidRDefault="00610572" w:rsidP="00610572">
      <w:pPr>
        <w:rPr>
          <w:rFonts w:ascii="Verdana" w:hAnsi="Verdana"/>
          <w:sz w:val="20"/>
        </w:rPr>
      </w:pPr>
    </w:p>
    <w:p w:rsidR="00610572" w:rsidRPr="00610572" w:rsidRDefault="00610572" w:rsidP="00610572">
      <w:pPr>
        <w:ind w:left="708"/>
        <w:rPr>
          <w:rFonts w:ascii="Verdana" w:hAnsi="Verdana"/>
          <w:sz w:val="20"/>
        </w:rPr>
      </w:pPr>
      <w:r w:rsidRPr="00610572">
        <w:rPr>
          <w:rFonts w:ascii="Verdana" w:hAnsi="Verdana"/>
          <w:sz w:val="20"/>
        </w:rPr>
        <w:t>Gjennom en levende og engasjert organisasjon kan Dommerforeningen best realisere sine mål.</w:t>
      </w:r>
    </w:p>
    <w:p w:rsidR="00610572" w:rsidRPr="00610572" w:rsidRDefault="00610572" w:rsidP="00610572">
      <w:pPr>
        <w:ind w:left="708"/>
        <w:rPr>
          <w:rFonts w:ascii="Verdana" w:hAnsi="Verdana"/>
          <w:sz w:val="20"/>
        </w:rPr>
      </w:pPr>
      <w:r w:rsidRPr="00610572">
        <w:rPr>
          <w:rFonts w:ascii="Verdana" w:hAnsi="Verdana"/>
          <w:sz w:val="20"/>
        </w:rPr>
        <w:t xml:space="preserve">Dommerforeningen vil derfor: </w:t>
      </w:r>
    </w:p>
    <w:p w:rsidR="00610572" w:rsidRPr="00610572" w:rsidRDefault="00610572" w:rsidP="00610572">
      <w:pPr>
        <w:numPr>
          <w:ilvl w:val="0"/>
          <w:numId w:val="4"/>
        </w:numPr>
        <w:suppressAutoHyphens w:val="0"/>
        <w:spacing w:after="0" w:line="240" w:lineRule="auto"/>
        <w:textAlignment w:val="auto"/>
        <w:rPr>
          <w:rFonts w:ascii="Verdana" w:hAnsi="Verdana"/>
          <w:sz w:val="20"/>
        </w:rPr>
      </w:pPr>
      <w:r w:rsidRPr="00610572">
        <w:rPr>
          <w:rFonts w:ascii="Verdana" w:hAnsi="Verdana"/>
          <w:sz w:val="20"/>
        </w:rPr>
        <w:t>Styrke den interne kommunikasjon og samhandling blant medlemmene.</w:t>
      </w:r>
    </w:p>
    <w:p w:rsidR="00610572" w:rsidRPr="00610572" w:rsidRDefault="00610572" w:rsidP="00610572">
      <w:pPr>
        <w:numPr>
          <w:ilvl w:val="0"/>
          <w:numId w:val="4"/>
        </w:numPr>
        <w:suppressAutoHyphens w:val="0"/>
        <w:spacing w:after="0" w:line="240" w:lineRule="auto"/>
        <w:textAlignment w:val="auto"/>
      </w:pPr>
      <w:r w:rsidRPr="00610572">
        <w:rPr>
          <w:rFonts w:ascii="Verdana" w:hAnsi="Verdana"/>
          <w:sz w:val="20"/>
        </w:rPr>
        <w:t>Styrke organisasjonen ved hensiktsmessig samvirke mellom styret og Dommerforeningens Representantskap, og med Juristforbundets organer.</w:t>
      </w:r>
    </w:p>
    <w:p w:rsidR="00610572" w:rsidRPr="00610572" w:rsidRDefault="00610572" w:rsidP="00610572">
      <w:pPr>
        <w:numPr>
          <w:ilvl w:val="0"/>
          <w:numId w:val="4"/>
        </w:numPr>
        <w:suppressAutoHyphens w:val="0"/>
        <w:spacing w:after="0" w:line="240" w:lineRule="auto"/>
        <w:textAlignment w:val="auto"/>
      </w:pPr>
      <w:r w:rsidRPr="00610572">
        <w:rPr>
          <w:rFonts w:ascii="Verdana" w:hAnsi="Verdana"/>
          <w:sz w:val="20"/>
        </w:rPr>
        <w:t>Videreutvikle eksterne relasjoner, særlig i forhold til offentlige beslutningstakere.</w:t>
      </w:r>
    </w:p>
    <w:p w:rsidR="00610572" w:rsidRPr="00610572" w:rsidRDefault="00610572" w:rsidP="00610572">
      <w:pPr>
        <w:rPr>
          <w:rFonts w:ascii="Verdana" w:hAnsi="Verdana"/>
          <w:sz w:val="20"/>
        </w:rPr>
      </w:pPr>
    </w:p>
    <w:p w:rsidR="00610572" w:rsidRPr="00610572" w:rsidRDefault="00610572" w:rsidP="00610572">
      <w:pPr>
        <w:numPr>
          <w:ilvl w:val="0"/>
          <w:numId w:val="2"/>
        </w:numPr>
        <w:suppressAutoHyphens w:val="0"/>
        <w:spacing w:after="0" w:line="240" w:lineRule="auto"/>
        <w:textAlignment w:val="auto"/>
        <w:rPr>
          <w:rFonts w:ascii="Verdana" w:hAnsi="Verdana"/>
          <w:b/>
          <w:bCs/>
          <w:sz w:val="20"/>
        </w:rPr>
      </w:pPr>
      <w:r w:rsidRPr="00610572">
        <w:rPr>
          <w:rFonts w:ascii="Verdana" w:hAnsi="Verdana"/>
          <w:b/>
          <w:bCs/>
          <w:sz w:val="20"/>
        </w:rPr>
        <w:t xml:space="preserve">Norske dommere skal i større omfang delta i internasjonalt samarbeid og internasjonale oppdrag </w:t>
      </w:r>
    </w:p>
    <w:p w:rsidR="00610572" w:rsidRPr="00610572" w:rsidRDefault="00610572" w:rsidP="00610572">
      <w:pPr>
        <w:rPr>
          <w:rFonts w:ascii="Verdana" w:hAnsi="Verdana"/>
          <w:sz w:val="20"/>
        </w:rPr>
      </w:pPr>
    </w:p>
    <w:p w:rsidR="00610572" w:rsidRPr="00610572" w:rsidRDefault="00610572" w:rsidP="00610572">
      <w:pPr>
        <w:suppressAutoHyphens w:val="0"/>
        <w:spacing w:after="0" w:line="240" w:lineRule="auto"/>
        <w:ind w:left="708"/>
        <w:textAlignment w:val="auto"/>
        <w:rPr>
          <w:rFonts w:ascii="Times New Roman" w:eastAsia="Times New Roman" w:hAnsi="Times New Roman"/>
          <w:sz w:val="24"/>
          <w:szCs w:val="20"/>
          <w:lang w:eastAsia="nb-NO"/>
        </w:rPr>
      </w:pPr>
      <w:r w:rsidRPr="00610572">
        <w:rPr>
          <w:rFonts w:ascii="Verdana" w:eastAsia="Times New Roman" w:hAnsi="Verdana"/>
          <w:sz w:val="20"/>
          <w:szCs w:val="20"/>
          <w:lang w:eastAsia="nb-NO"/>
        </w:rPr>
        <w:t xml:space="preserve">Norske dommere er en ressurs som i større grad bør benyttes av Norge og det internasjonale samfunnet for internasjonale oppdrag. I en verden som blir stadig mer sammenvevd, er det også viktig at norske dommere møter utenlandske kollegaer i ulike sammenhenger. </w:t>
      </w:r>
    </w:p>
    <w:p w:rsidR="00610572" w:rsidRPr="00610572" w:rsidRDefault="00610572" w:rsidP="00610572">
      <w:pPr>
        <w:ind w:left="708"/>
        <w:rPr>
          <w:rFonts w:ascii="Verdana" w:hAnsi="Verdana"/>
          <w:sz w:val="20"/>
        </w:rPr>
      </w:pPr>
    </w:p>
    <w:p w:rsidR="00610572" w:rsidRPr="00610572" w:rsidRDefault="00610572" w:rsidP="00610572">
      <w:pPr>
        <w:ind w:firstLine="708"/>
        <w:rPr>
          <w:rFonts w:ascii="Verdana" w:hAnsi="Verdana"/>
          <w:sz w:val="20"/>
        </w:rPr>
      </w:pPr>
      <w:r w:rsidRPr="00610572">
        <w:rPr>
          <w:rFonts w:ascii="Verdana" w:hAnsi="Verdana"/>
          <w:sz w:val="20"/>
        </w:rPr>
        <w:t>Dommerforeningen vil derfor:</w:t>
      </w:r>
    </w:p>
    <w:p w:rsidR="00610572" w:rsidRPr="00610572" w:rsidRDefault="00610572" w:rsidP="00610572">
      <w:pPr>
        <w:numPr>
          <w:ilvl w:val="0"/>
          <w:numId w:val="4"/>
        </w:numPr>
        <w:suppressAutoHyphens w:val="0"/>
        <w:spacing w:after="0" w:line="240" w:lineRule="auto"/>
        <w:textAlignment w:val="auto"/>
        <w:rPr>
          <w:rFonts w:ascii="Verdana" w:hAnsi="Verdana"/>
          <w:sz w:val="20"/>
        </w:rPr>
      </w:pPr>
      <w:r w:rsidRPr="00610572">
        <w:rPr>
          <w:rFonts w:ascii="Verdana" w:hAnsi="Verdana"/>
          <w:sz w:val="20"/>
        </w:rPr>
        <w:t>Arbeide for å øke den internasjonale kompetansen blant norske dommere.</w:t>
      </w:r>
    </w:p>
    <w:p w:rsidR="00610572" w:rsidRPr="00610572" w:rsidRDefault="00610572" w:rsidP="00610572">
      <w:pPr>
        <w:numPr>
          <w:ilvl w:val="0"/>
          <w:numId w:val="4"/>
        </w:numPr>
        <w:suppressAutoHyphens w:val="0"/>
        <w:spacing w:after="0" w:line="240" w:lineRule="auto"/>
        <w:textAlignment w:val="auto"/>
        <w:rPr>
          <w:rFonts w:ascii="Verdana" w:hAnsi="Verdana"/>
          <w:sz w:val="20"/>
        </w:rPr>
      </w:pPr>
      <w:r w:rsidRPr="00610572">
        <w:rPr>
          <w:rFonts w:ascii="Verdana" w:hAnsi="Verdana"/>
          <w:sz w:val="20"/>
        </w:rPr>
        <w:t>Videreutvikle eksisterende og nye relasjoner i internasjonale dommerfora.</w:t>
      </w:r>
    </w:p>
    <w:p w:rsidR="00610572" w:rsidRDefault="00610572" w:rsidP="00610572">
      <w:pPr>
        <w:numPr>
          <w:ilvl w:val="0"/>
          <w:numId w:val="4"/>
        </w:numPr>
        <w:suppressAutoHyphens w:val="0"/>
        <w:spacing w:after="0" w:line="240" w:lineRule="auto"/>
        <w:textAlignment w:val="auto"/>
        <w:rPr>
          <w:rFonts w:ascii="Verdana" w:hAnsi="Verdana"/>
          <w:sz w:val="20"/>
        </w:rPr>
      </w:pPr>
      <w:r>
        <w:rPr>
          <w:rFonts w:ascii="Verdana" w:hAnsi="Verdana"/>
          <w:sz w:val="20"/>
        </w:rPr>
        <w:lastRenderedPageBreak/>
        <w:t>Utvikle samarbeidet med norske myndigheter om norsk dommerdeltakelse i internasjonale oppdrag.</w:t>
      </w:r>
    </w:p>
    <w:p w:rsidR="00610572" w:rsidRDefault="00610572" w:rsidP="00610572">
      <w:pPr>
        <w:numPr>
          <w:ilvl w:val="0"/>
          <w:numId w:val="4"/>
        </w:numPr>
        <w:suppressAutoHyphens w:val="0"/>
        <w:spacing w:after="0" w:line="240" w:lineRule="auto"/>
        <w:textAlignment w:val="auto"/>
        <w:rPr>
          <w:rFonts w:ascii="Verdana" w:hAnsi="Verdana"/>
          <w:sz w:val="20"/>
        </w:rPr>
      </w:pPr>
      <w:r>
        <w:rPr>
          <w:rFonts w:ascii="Verdana" w:hAnsi="Verdana"/>
          <w:sz w:val="20"/>
        </w:rPr>
        <w:t>Bidra til arbeidet for økt rettssikkerhet og uavhengige domstoler i andre land.</w:t>
      </w:r>
    </w:p>
    <w:p w:rsidR="00610572" w:rsidRDefault="00610572" w:rsidP="00610572">
      <w:pPr>
        <w:rPr>
          <w:rFonts w:ascii="Verdana" w:hAnsi="Verdana"/>
          <w:sz w:val="20"/>
        </w:rPr>
      </w:pPr>
    </w:p>
    <w:p w:rsidR="00610572" w:rsidRDefault="00610572">
      <w:bookmarkStart w:id="0" w:name="_GoBack"/>
      <w:bookmarkEnd w:id="0"/>
    </w:p>
    <w:sectPr w:rsidR="00610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C293F"/>
    <w:multiLevelType w:val="multilevel"/>
    <w:tmpl w:val="0A8286E4"/>
    <w:lvl w:ilvl="0">
      <w:start w:val="1"/>
      <w:numFmt w:val="decimal"/>
      <w:lvlText w:val="%1."/>
      <w:lvlJc w:val="left"/>
      <w:pPr>
        <w:ind w:left="720" w:hanging="360"/>
      </w:pPr>
      <w:rPr>
        <w:rFonts w:ascii="Verdana" w:hAnsi="Verdana"/>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9C433D"/>
    <w:multiLevelType w:val="multilevel"/>
    <w:tmpl w:val="91166D68"/>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rPr>
    </w:lvl>
    <w:lvl w:ilvl="8">
      <w:numFmt w:val="bullet"/>
      <w:lvlText w:val=""/>
      <w:lvlJc w:val="left"/>
      <w:pPr>
        <w:ind w:left="6825" w:hanging="360"/>
      </w:pPr>
      <w:rPr>
        <w:rFonts w:ascii="Wingdings" w:hAnsi="Wingdings"/>
      </w:rPr>
    </w:lvl>
  </w:abstractNum>
  <w:abstractNum w:abstractNumId="2" w15:restartNumberingAfterBreak="0">
    <w:nsid w:val="57F81A92"/>
    <w:multiLevelType w:val="multilevel"/>
    <w:tmpl w:val="2C669F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62D37AEA"/>
    <w:multiLevelType w:val="multilevel"/>
    <w:tmpl w:val="8F76087A"/>
    <w:lvl w:ilvl="0">
      <w:numFmt w:val="bullet"/>
      <w:lvlText w:val="-"/>
      <w:lvlJc w:val="left"/>
      <w:pPr>
        <w:ind w:left="1068" w:hanging="360"/>
      </w:pPr>
      <w:rPr>
        <w:rFonts w:ascii="Times New Roman" w:eastAsia="Times New Roman" w:hAnsi="Times New Roman" w:cs="Times New Roman"/>
      </w:rPr>
    </w:lvl>
    <w:lvl w:ilvl="1">
      <w:numFmt w:val="bullet"/>
      <w:lvlText w:val=""/>
      <w:lvlJc w:val="left"/>
      <w:pPr>
        <w:ind w:left="1788" w:hanging="360"/>
      </w:pPr>
      <w:rPr>
        <w:rFonts w:ascii="Symbol" w:hAnsi="Symbol"/>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72"/>
    <w:rsid w:val="0010623F"/>
    <w:rsid w:val="006105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FDFD"/>
  <w15:chartTrackingRefBased/>
  <w15:docId w15:val="{B1963DD2-B8CD-47A0-9F48-E0D5ABAD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0572"/>
    <w:pPr>
      <w:suppressAutoHyphens/>
      <w:autoSpaceDN w:val="0"/>
      <w:spacing w:after="200" w:line="276" w:lineRule="auto"/>
      <w:textAlignment w:val="baseline"/>
    </w:pPr>
    <w:rPr>
      <w:rFonts w:ascii="Calibri" w:eastAsia="Calibri" w:hAnsi="Calibri" w:cs="Times New Roman"/>
    </w:rPr>
  </w:style>
  <w:style w:type="paragraph" w:styleId="Overskrift1">
    <w:name w:val="heading 1"/>
    <w:basedOn w:val="Normal"/>
    <w:next w:val="Normal"/>
    <w:link w:val="Overskrift1Tegn"/>
    <w:rsid w:val="00610572"/>
    <w:pPr>
      <w:keepNext/>
      <w:suppressAutoHyphens w:val="0"/>
      <w:spacing w:after="0" w:line="240" w:lineRule="auto"/>
      <w:textAlignment w:val="auto"/>
      <w:outlineLvl w:val="0"/>
    </w:pPr>
    <w:rPr>
      <w:rFonts w:ascii="Times New Roman" w:eastAsia="Times New Roman" w:hAnsi="Times New Roman"/>
      <w:b/>
      <w:bCs/>
      <w:sz w:val="28"/>
      <w:szCs w:val="20"/>
      <w:lang w:eastAsia="nb-NO"/>
    </w:rPr>
  </w:style>
  <w:style w:type="paragraph" w:styleId="Overskrift2">
    <w:name w:val="heading 2"/>
    <w:basedOn w:val="Normal"/>
    <w:next w:val="Normal"/>
    <w:link w:val="Overskrift2Tegn"/>
    <w:rsid w:val="00610572"/>
    <w:pPr>
      <w:keepNext/>
      <w:suppressAutoHyphens w:val="0"/>
      <w:spacing w:after="0" w:line="240" w:lineRule="auto"/>
      <w:textAlignment w:val="auto"/>
      <w:outlineLvl w:val="1"/>
    </w:pPr>
    <w:rPr>
      <w:rFonts w:ascii="Times New Roman" w:eastAsia="Times New Roman" w:hAnsi="Times New Roman"/>
      <w:b/>
      <w:bCs/>
      <w:sz w:val="32"/>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10572"/>
    <w:rPr>
      <w:rFonts w:ascii="Times New Roman" w:eastAsia="Times New Roman" w:hAnsi="Times New Roman" w:cs="Times New Roman"/>
      <w:b/>
      <w:bCs/>
      <w:sz w:val="28"/>
      <w:szCs w:val="20"/>
      <w:lang w:eastAsia="nb-NO"/>
    </w:rPr>
  </w:style>
  <w:style w:type="character" w:customStyle="1" w:styleId="Overskrift2Tegn">
    <w:name w:val="Overskrift 2 Tegn"/>
    <w:basedOn w:val="Standardskriftforavsnitt"/>
    <w:link w:val="Overskrift2"/>
    <w:rsid w:val="00610572"/>
    <w:rPr>
      <w:rFonts w:ascii="Times New Roman" w:eastAsia="Times New Roman" w:hAnsi="Times New Roman" w:cs="Times New Roman"/>
      <w:b/>
      <w:bCs/>
      <w:sz w:val="32"/>
      <w:szCs w:val="20"/>
      <w:lang w:eastAsia="nb-NO"/>
    </w:rPr>
  </w:style>
  <w:style w:type="paragraph" w:styleId="Listeavsnitt">
    <w:name w:val="List Paragraph"/>
    <w:basedOn w:val="Normal"/>
    <w:rsid w:val="00610572"/>
    <w:pPr>
      <w:ind w:left="720"/>
    </w:pPr>
  </w:style>
  <w:style w:type="paragraph" w:styleId="Bunntekst">
    <w:name w:val="footer"/>
    <w:basedOn w:val="Normal"/>
    <w:link w:val="BunntekstTegn"/>
    <w:rsid w:val="00610572"/>
    <w:pPr>
      <w:tabs>
        <w:tab w:val="center" w:pos="4536"/>
        <w:tab w:val="right" w:pos="9072"/>
      </w:tabs>
      <w:spacing w:after="0" w:line="240" w:lineRule="auto"/>
    </w:pPr>
  </w:style>
  <w:style w:type="character" w:customStyle="1" w:styleId="BunntekstTegn">
    <w:name w:val="Bunntekst Tegn"/>
    <w:basedOn w:val="Standardskriftforavsnitt"/>
    <w:link w:val="Bunntekst"/>
    <w:rsid w:val="00610572"/>
    <w:rPr>
      <w:rFonts w:ascii="Calibri" w:eastAsia="Calibri" w:hAnsi="Calibri" w:cs="Times New Roman"/>
    </w:rPr>
  </w:style>
  <w:style w:type="paragraph" w:styleId="Brdtekstinnrykk2">
    <w:name w:val="Body Text Indent 2"/>
    <w:basedOn w:val="Normal"/>
    <w:link w:val="Brdtekstinnrykk2Tegn"/>
    <w:rsid w:val="00610572"/>
    <w:pPr>
      <w:suppressAutoHyphens w:val="0"/>
      <w:spacing w:after="0" w:line="240" w:lineRule="auto"/>
      <w:ind w:left="705"/>
      <w:textAlignment w:val="auto"/>
    </w:pPr>
    <w:rPr>
      <w:rFonts w:ascii="Times New Roman" w:eastAsia="Times New Roman" w:hAnsi="Times New Roman"/>
      <w:sz w:val="24"/>
      <w:szCs w:val="20"/>
      <w:lang w:eastAsia="nb-NO"/>
    </w:rPr>
  </w:style>
  <w:style w:type="character" w:customStyle="1" w:styleId="Brdtekstinnrykk2Tegn">
    <w:name w:val="Brødtekstinnrykk 2 Tegn"/>
    <w:basedOn w:val="Standardskriftforavsnitt"/>
    <w:link w:val="Brdtekstinnrykk2"/>
    <w:rsid w:val="00610572"/>
    <w:rPr>
      <w:rFonts w:ascii="Times New Roman" w:eastAsia="Times New Roman" w:hAnsi="Times New Roman" w:cs="Times New Roman"/>
      <w:sz w:val="24"/>
      <w:szCs w:val="20"/>
      <w:lang w:eastAsia="nb-NO"/>
    </w:rPr>
  </w:style>
  <w:style w:type="paragraph" w:styleId="Brdtekstinnrykk">
    <w:name w:val="Body Text Indent"/>
    <w:basedOn w:val="Normal"/>
    <w:link w:val="BrdtekstinnrykkTegn"/>
    <w:uiPriority w:val="99"/>
    <w:semiHidden/>
    <w:unhideWhenUsed/>
    <w:rsid w:val="00610572"/>
    <w:pPr>
      <w:spacing w:after="120"/>
      <w:ind w:left="283"/>
    </w:pPr>
  </w:style>
  <w:style w:type="character" w:customStyle="1" w:styleId="BrdtekstinnrykkTegn">
    <w:name w:val="Brødtekstinnrykk Tegn"/>
    <w:basedOn w:val="Standardskriftforavsnitt"/>
    <w:link w:val="Brdtekstinnrykk"/>
    <w:uiPriority w:val="99"/>
    <w:semiHidden/>
    <w:rsid w:val="00610572"/>
    <w:rPr>
      <w:rFonts w:ascii="Calibri" w:eastAsia="Calibri" w:hAnsi="Calibri" w:cs="Times New Roman"/>
    </w:rPr>
  </w:style>
  <w:style w:type="paragraph" w:styleId="Brdtekstinnrykk3">
    <w:name w:val="Body Text Indent 3"/>
    <w:basedOn w:val="Normal"/>
    <w:link w:val="Brdtekstinnrykk3Tegn"/>
    <w:uiPriority w:val="99"/>
    <w:semiHidden/>
    <w:unhideWhenUsed/>
    <w:rsid w:val="00610572"/>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610572"/>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4988</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Domstoladministrasjonen</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Thune, Ingjerd</dc:creator>
  <cp:keywords/>
  <dc:description/>
  <cp:lastModifiedBy>Thune, Ingjerd</cp:lastModifiedBy>
  <cp:revision>1</cp:revision>
  <dcterms:created xsi:type="dcterms:W3CDTF">2018-01-22T10:04:00Z</dcterms:created>
  <dcterms:modified xsi:type="dcterms:W3CDTF">2018-01-22T10:06:00Z</dcterms:modified>
</cp:coreProperties>
</file>